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Livrable C Groupe 6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Critères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bloqueur de piétons renforce la sécurité routière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Hauteur maximale (3 pi)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 inflammable ni explosif en cas d’accident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Sécuritaire pour le chauffeur en cas de collision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bloqueur n’est pas trop rigide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temps d’installation (1h par 5m y compris la vérification le nettoyage)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bloqueur renvoie une image positive à la société et aux médias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fait que le bloqueur est conçu pour décourager les mendiants de rester sur la médiane n’est pas explicitement mentionné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Considérer les aspects esthétiques généralement attendus d’une capitale et conserver l’aspect de l’ouverture sociale du pays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Esthétique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 représentant l’aspect inclusif de la ville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bloqueur peut endurer les conditions environnementales et routières des quatre saisons pendant plusieurs années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Durée de vie (au moins 5 ans)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Matériaux non-corrosifs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bloqueur est à un coût abordable pour pouvoir facilement le remplacer lors d’une collision avec entretien minimum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Coût d’installation ($)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Coût d’entretien ($ par année)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 alternatives écologiques sont à considérer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L’utilisation de sources renouvelables pour alimenter les composantes technologiques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Exigences fonctionnelles 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Conditions d’opération : température, pollution, nuit</w:t>
        <w:br w:type="textWrapping"/>
        <w:t xml:space="preserve">Le temps d’installation (1h par 5 mètre)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largeur (aussi près possible de la route)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Exigences non-fonctionnelles 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Esthétique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Durée de vie (années)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Matériaux non-corrosifs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Contraintes 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hauteur (3pi, telle que conçue par le gouvernement)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Temps d’installation (min) (pour que les routes ne soient pas fermées pendant longtemps)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Coût ($) d’installation et entretien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Résistance aux conditions météos (neige, pluie, soleil, vent)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Résistance à la pollution (pour les solutions écologiques)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Toutes les normes déjà mises en place ne peuvent pas être changées, incluant la limite de vitesse.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Etalonnage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Bloqueur de piéton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Cloture en métal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Barrière de route en ciment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38250" cy="971550"/>
                  <wp:effectExtent b="0" l="0" r="0" t="0"/>
                  <wp:docPr id="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 b="0" l="0" r="8450" t="49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966788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8076" l="0" r="20422" t="21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9667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Coût ($ par 5 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Dimensions (m par unité)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(2.5x 0.8x0.8)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(4.32x 0.081x 0.31)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(2.5x0.69x0.8)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Matériaux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Acier inoxydable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Métal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Durée (années)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Temps d’installation (h par 5m)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jours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heures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Toutes les solutions mentionnées ci-dessus ne satisfassent pas le besoin esthétique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